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004C" w14:textId="17784F1E" w:rsidR="00072198" w:rsidRPr="00540C0B" w:rsidRDefault="00072198" w:rsidP="00540C0B">
      <w:pPr>
        <w:pStyle w:val="Standard"/>
        <w:jc w:val="center"/>
        <w:rPr>
          <w:rFonts w:ascii="Arial" w:hAnsi="Arial" w:cs="Arial"/>
          <w:b/>
          <w:bCs/>
          <w:color w:val="333333"/>
          <w:w w:val="115"/>
          <w:sz w:val="22"/>
          <w:szCs w:val="22"/>
        </w:rPr>
      </w:pPr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>PROJETO DE LEI Nº</w:t>
      </w:r>
      <w:r w:rsidR="007D68B4">
        <w:rPr>
          <w:rFonts w:ascii="Arial" w:hAnsi="Arial" w:cs="Arial"/>
          <w:b/>
          <w:bCs/>
          <w:color w:val="333333"/>
          <w:w w:val="115"/>
          <w:sz w:val="22"/>
          <w:szCs w:val="22"/>
        </w:rPr>
        <w:t xml:space="preserve"> </w:t>
      </w:r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 xml:space="preserve">28/2022, de </w:t>
      </w:r>
      <w:r w:rsid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>01</w:t>
      </w:r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 xml:space="preserve"> de </w:t>
      </w:r>
      <w:proofErr w:type="spellStart"/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>ju</w:t>
      </w:r>
      <w:r w:rsid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>l</w:t>
      </w:r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>ho</w:t>
      </w:r>
      <w:proofErr w:type="spellEnd"/>
      <w:r w:rsidRPr="00540C0B">
        <w:rPr>
          <w:rFonts w:ascii="Arial" w:hAnsi="Arial" w:cs="Arial"/>
          <w:b/>
          <w:bCs/>
          <w:color w:val="333333"/>
          <w:w w:val="115"/>
          <w:sz w:val="22"/>
          <w:szCs w:val="22"/>
        </w:rPr>
        <w:t xml:space="preserve"> de 2022.</w:t>
      </w:r>
    </w:p>
    <w:p w14:paraId="19CB3E5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2523B4E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65DFA9DA" w14:textId="77777777" w:rsidR="00072198" w:rsidRPr="00EC53CE" w:rsidRDefault="00072198" w:rsidP="00EC53CE">
      <w:pPr>
        <w:pStyle w:val="Standard"/>
        <w:ind w:left="3969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Dispõe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autorização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providências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0840947" w14:textId="77777777" w:rsidR="00072198" w:rsidRPr="00EC53CE" w:rsidRDefault="00072198" w:rsidP="00EC53CE">
      <w:pPr>
        <w:pStyle w:val="Standard"/>
        <w:ind w:left="3969"/>
        <w:jc w:val="both"/>
        <w:rPr>
          <w:rFonts w:ascii="Arial" w:hAnsi="Arial" w:cs="Arial"/>
          <w:sz w:val="22"/>
          <w:szCs w:val="22"/>
        </w:rPr>
      </w:pPr>
    </w:p>
    <w:p w14:paraId="7464D70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B996F5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O PREFEITO MUNICIPAL DE DOUTOR RICARDO, ESTADO DO RIO GRANDE DO SUL,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legais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faz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saber que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Câmara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sanciona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lei:</w:t>
      </w:r>
    </w:p>
    <w:p w14:paraId="28517A7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8D48FA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I</w:t>
      </w:r>
    </w:p>
    <w:p w14:paraId="6D980B1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7CEED3E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DAS DEFINIÇÕES E DOS OBJETIVOS</w:t>
      </w:r>
    </w:p>
    <w:p w14:paraId="714582D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2B863A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cidadão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Estado,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Seguridade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contributiva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provê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mínimos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através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um conjunto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iniciativa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46D4659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D4972B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65C1FCA4" w14:textId="5BDC5EC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que visa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redução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prevenção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incidência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5E060195" w14:textId="302C6DB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a)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maternidade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adolescência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velhice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777A173" w14:textId="337A6152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b) o amparo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crianças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adolescentes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social;</w:t>
      </w:r>
    </w:p>
    <w:p w14:paraId="337976F8" w14:textId="78F45E1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c)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mercado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5D5D8CA" w14:textId="51CA168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d)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habilitação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reabilitação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07EAAF47" w14:textId="50D0380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vigilância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que visa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analisar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territorialmente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ocorrência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ameaças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vitimizações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152EDDD" w14:textId="5F013FD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que visa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pleno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conjunto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57C2487" w14:textId="4DFB5E9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níveis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69248CD" w14:textId="3F68C33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primazia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esfera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4FFC0C2" w14:textId="3116C2B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centralidade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concepção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base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31B2352" w14:textId="2E7AAF86" w:rsidR="00072198" w:rsidRPr="00540C0B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enfrentamento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pobreza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universalizar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contingências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328594A" w14:textId="77777777" w:rsidR="00AE642B" w:rsidRDefault="00AE642B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3326C3C7" w14:textId="30360346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II</w:t>
      </w:r>
    </w:p>
    <w:p w14:paraId="71316B9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0FF9E9A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PRINCÍPIOS E DIRETRIZES</w:t>
      </w:r>
    </w:p>
    <w:p w14:paraId="0184BAE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C02FB9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</w:t>
      </w:r>
    </w:p>
    <w:p w14:paraId="797AE19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Dos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Princípios</w:t>
      </w:r>
      <w:proofErr w:type="spellEnd"/>
    </w:p>
    <w:p w14:paraId="7A2D4E5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3722925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lastRenderedPageBreak/>
        <w:t xml:space="preserve">Art. 3º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princípios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44557C8F" w14:textId="0BE5DC8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universalidade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têm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dignidade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cidadão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discriminação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qualquer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espécie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vexatória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E984913" w14:textId="0C4AF321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gratuidade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exigência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contribuição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contrapartida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dispõe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art. 35, da Lei Federal nº 10.741, de 1º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outubro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2003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Estatuto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Idoso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338308C" w14:textId="325DEDA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conjunto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DAB521D" w14:textId="587360D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intersetorialidade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Sistema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Justiça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079E18D" w14:textId="5D56AF8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culturais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socioeconômicas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priorizando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aqueles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estiverem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social.</w:t>
      </w:r>
    </w:p>
    <w:p w14:paraId="7ECEAED8" w14:textId="6199D52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supremacia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exigências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rentabilidade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econômica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A167F64" w14:textId="6593B2C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universalização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tornar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destinatário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alcançável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C2200F6" w14:textId="6E3D71A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dignidade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cidadão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convivência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vedando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qualquer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vexatória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F8BAAD8" w14:textId="463ED25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igualdade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discriminação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qualquer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natureza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equivalência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urbanas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rurais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C25F344" w14:textId="73181B0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ampla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oferecidos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6F2468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788862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B90642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</w:t>
      </w:r>
    </w:p>
    <w:p w14:paraId="4D5F3D6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Das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Diretrizes</w:t>
      </w:r>
      <w:proofErr w:type="spellEnd"/>
    </w:p>
    <w:p w14:paraId="59C28CD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7A16BA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6AB6F7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19E0BA05" w14:textId="7ED11FE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primazia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Estado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esfera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D4D20B7" w14:textId="37C1A44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político-administrativa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esfera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2ECF095" w14:textId="1AC81D0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partilhado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federados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6D677BF" w14:textId="0A0E31D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matricialidade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socio-familiar;</w:t>
      </w:r>
    </w:p>
    <w:p w14:paraId="6CBC985A" w14:textId="5D9BDE7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territorialização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A2D96DB" w14:textId="3FB1C29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fortalecimento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democrática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Estado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civil;</w:t>
      </w:r>
    </w:p>
    <w:p w14:paraId="6201013C" w14:textId="2182C20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popular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níveis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B99450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1FAA69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III</w:t>
      </w:r>
    </w:p>
    <w:p w14:paraId="73F990AA" w14:textId="77777777" w:rsidR="00AE642B" w:rsidRDefault="00AE642B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27D4CDE9" w14:textId="6FFA64CA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GESTÃO E ORGANIZAÇÃO DA POLÍTICA MUNICIPAL DE ASSISTÊNCIA SOCIAL</w:t>
      </w:r>
    </w:p>
    <w:p w14:paraId="29EC373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660E1A9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</w:t>
      </w:r>
    </w:p>
    <w:p w14:paraId="461EA06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lastRenderedPageBreak/>
        <w:t xml:space="preserve">Da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Gestão</w:t>
      </w:r>
      <w:proofErr w:type="spellEnd"/>
    </w:p>
    <w:p w14:paraId="1FFCFDF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2EF1FCA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área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sob a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denominado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Sistema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Lei Federal nº 8.742, de 7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dezembro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1993,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cujas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476BC6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A25BF0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federativos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abrangida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Lei Federal nº 8.742, de 1993.</w:t>
      </w:r>
    </w:p>
    <w:p w14:paraId="051EA86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42EE24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Art.6º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atuará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esferas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federal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cabendo-lhe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5AC022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2DC7BA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7º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é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5F7F6597" w14:textId="305AF9C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569421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</w:t>
      </w:r>
    </w:p>
    <w:p w14:paraId="2219ADA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ORGANIZAÇÃO</w:t>
      </w:r>
    </w:p>
    <w:p w14:paraId="4E286B3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7FA6CF2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3D65529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8º O Sistema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31E8C2C" w14:textId="2D2C788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conjunto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que visa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prevenir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aquisições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potencialidades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fortalecimento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vínculos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familiares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5F476F5" w14:textId="1E194A0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especial: conjunto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contribuir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reconstrução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vínculos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familiares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fortalecimento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potencialidades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aquisições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enfrentamento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violação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E84825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C88849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9º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compõe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precipuamente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prejuízo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outros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1C5377EA" w14:textId="4B38FC9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Integral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– PAIF;</w:t>
      </w:r>
    </w:p>
    <w:p w14:paraId="492C0494" w14:textId="643E890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Convivência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Fortalecimento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Vínculos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– SCFV;</w:t>
      </w:r>
    </w:p>
    <w:p w14:paraId="38B880ED" w14:textId="4E1C253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Domicílio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Idosas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936D1CD" w14:textId="28CC8DF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§1º O PAIF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exclusivamente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Centro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CRAS.</w:t>
      </w:r>
    </w:p>
    <w:p w14:paraId="671B66CF" w14:textId="4A700909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Equipes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Volantes.</w:t>
      </w:r>
    </w:p>
    <w:p w14:paraId="2143FC0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828507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10.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precipuamente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prejuízo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outros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351B362E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DA2C5DC" w14:textId="47CD96B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média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complexidade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88D5558" w14:textId="6DB795B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– PAEFI;</w:t>
      </w:r>
    </w:p>
    <w:p w14:paraId="61101BA9" w14:textId="36F68C9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lastRenderedPageBreak/>
        <w:t xml:space="preserve">b)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Abordagem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420204A0" w14:textId="2B7CDFF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c)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Adolescentes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Cumprimento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Medida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Socioeducativa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Liberdade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2784CFC" w14:textId="70A8CF6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d)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Idosas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C2E37BD" w14:textId="1729D05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e)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41D1F7B" w14:textId="3A29F09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complexidade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C4D9902" w14:textId="7600CFE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7F3CE13" w14:textId="1834264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b)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República;</w:t>
      </w:r>
    </w:p>
    <w:p w14:paraId="6F357B8D" w14:textId="23AD8AE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c)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Acolhedora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1D1C974" w14:textId="53B56A5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d)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Calamidades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Emergências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82A6373" w14:textId="71BEA4C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PAEFI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exclusivamente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Centro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CREAS.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havendo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habilitação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CREAS,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(PSE)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equipe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instalações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compatíveis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neles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D35F371" w14:textId="39C4B0E6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11.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especial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especificidades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09C90687" w14:textId="49C3476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§1º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Considera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conjunto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mediante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SUAS.</w:t>
      </w:r>
    </w:p>
    <w:p w14:paraId="000C1FAC" w14:textId="6396870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SUAS é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reconhecimento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gestor, de que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integra a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C27A68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82D81B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12.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integra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estrutura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administrativa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Ricardo, qual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14D5E86E" w14:textId="20C68D6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>I – CRAS.</w:t>
      </w:r>
    </w:p>
    <w:p w14:paraId="6D42781C" w14:textId="7C2C7AC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instalação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compatível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A06B43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E3BBCE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13.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precipuamente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Centro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CRAS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4CAC27C" w14:textId="516FA2A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 1º O CRAS é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municipal, de base territorial,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localizada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áreas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maiores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índices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abrangência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193DD58" w14:textId="42C0941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§3º O CRAS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possui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interface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009F720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FE74AF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14.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CRAS e CREAS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da:</w:t>
      </w:r>
    </w:p>
    <w:p w14:paraId="08C8581E" w14:textId="77777777" w:rsidR="00AE642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I.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territorialização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</w:t>
      </w:r>
      <w:r w:rsidRPr="00EC53CE">
        <w:rPr>
          <w:rFonts w:ascii="Arial" w:hAnsi="Arial" w:cs="Arial"/>
          <w:color w:val="242021"/>
          <w:sz w:val="22"/>
          <w:szCs w:val="22"/>
        </w:rPr>
        <w:t xml:space="preserve">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capilarizada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áreas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abrangência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baseada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lógica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proximidade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cotidiano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cidadãos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;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locais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considerando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questões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dinâmicas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percorridas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fluxos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transportes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intuito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potencializar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preventivo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educativo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</w:p>
    <w:p w14:paraId="3F735D43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732E0CF" w14:textId="1F314010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lastRenderedPageBreak/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mantendo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simultaneamente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ênfase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prioridade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maior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25E741BD" w14:textId="6ACF296D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II.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universalização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</w:t>
      </w:r>
      <w:r w:rsidRPr="00EC53CE">
        <w:rPr>
          <w:rFonts w:ascii="Arial" w:hAnsi="Arial" w:cs="Arial"/>
          <w:color w:val="242021"/>
          <w:sz w:val="22"/>
          <w:szCs w:val="22"/>
        </w:rPr>
        <w:t xml:space="preserve">–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que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asseguradas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totalidade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compatível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volume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3D1AFA6" w14:textId="28753D0D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III.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regionalização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</w:t>
      </w:r>
      <w:r w:rsidRPr="00EC53CE">
        <w:rPr>
          <w:rFonts w:ascii="Arial" w:hAnsi="Arial" w:cs="Arial"/>
          <w:color w:val="242021"/>
          <w:sz w:val="22"/>
          <w:szCs w:val="22"/>
        </w:rPr>
        <w:t xml:space="preserve">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arranjos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envolvam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circunvizinhos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assegurar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especial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cujos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custos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baixa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demanda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justifiquem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rede regional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desconcentrada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Estado.</w:t>
      </w:r>
    </w:p>
    <w:p w14:paraId="0E4C51C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0EA8E1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15.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pressupõem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equipe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Resoluções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nº 269, de 13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dezembro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2006; nº 17, de 20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junho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2011; e nº 9, de 25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abril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2014, do CNAS</w:t>
      </w:r>
      <w:r w:rsidRPr="00EC53CE">
        <w:rPr>
          <w:rFonts w:ascii="Arial" w:hAnsi="Arial" w:cs="Arial"/>
          <w:color w:val="EE2025"/>
          <w:sz w:val="22"/>
          <w:szCs w:val="22"/>
        </w:rPr>
        <w:t>.</w:t>
      </w:r>
    </w:p>
    <w:p w14:paraId="615A152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diagnóstico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socioterritorial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dados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Vigilância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fundamentais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especial.</w:t>
      </w:r>
    </w:p>
    <w:p w14:paraId="57EA11E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9BD55C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16. O SUAS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afiança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seguranças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F90C074" w14:textId="34B3D85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F342A6F" w14:textId="727F596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renda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F4CCDC0" w14:textId="1A96599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convívio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vivência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social;</w:t>
      </w:r>
    </w:p>
    <w:p w14:paraId="007E081C" w14:textId="14F7586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E09C6FA" w14:textId="70077F3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823567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EB9CD8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90F99C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III</w:t>
      </w:r>
    </w:p>
    <w:p w14:paraId="068A3A7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DAS RESPONSABILIDADES</w:t>
      </w:r>
    </w:p>
    <w:p w14:paraId="7FF08C7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4A4895E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DABAA7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17. Compete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Social:</w:t>
      </w:r>
    </w:p>
    <w:p w14:paraId="1DB67DA1" w14:textId="6AA887B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custeio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art. 22, da Lei Federal nº 8742, de 1993,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mediante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7CFE5563" w14:textId="5E6A975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efetuar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pagamento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auxílio-natalidade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-funeral;</w:t>
      </w:r>
    </w:p>
    <w:p w14:paraId="441EB73E" w14:textId="3A3D097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enfrentamento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pobreza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incluindo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parceria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civil;</w:t>
      </w:r>
    </w:p>
    <w:p w14:paraId="69689E29" w14:textId="52A04BA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emergência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D888686" w14:textId="6A824AE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art. 23, da Lei Federal nº 8.742, de 7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Dezembro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1993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99DB7A5" w14:textId="23819EC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vigilância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29AFD40" w14:textId="3EB5C82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contínuos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e Plano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2EF23E97" w14:textId="3C9E7835" w:rsidR="00072198" w:rsidRPr="00540C0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regulamentar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lastRenderedPageBreak/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r w:rsidR="00540C0B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1E58057E" w14:textId="43DB9BF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regulamentar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</w:t>
      </w:r>
    </w:p>
    <w:p w14:paraId="31D7760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31D8FBA3" w14:textId="5AFC22C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local;</w:t>
      </w:r>
    </w:p>
    <w:p w14:paraId="6C3A5C0D" w14:textId="15CF45C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conjunto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esfera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federal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Educação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Permanente, com base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princípios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Norma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Operacional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Humanos do SUAS – NOB-RH/SUAS,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-a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5EA55A3" w14:textId="4BB38A3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9E40BE1" w14:textId="41CAA4B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local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Continuada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– BPC,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beneficiários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CA8A363" w14:textId="161EE66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conjunto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0C90CEFB" w14:textId="3A7A3EB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renda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A6127A3" w14:textId="7EC57E0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6C3A5162" w14:textId="798184B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municipal,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Cadastro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Federal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Brasil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Lei nº 14.284 de 29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dezembro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2021;</w:t>
      </w:r>
    </w:p>
    <w:p w14:paraId="14510D26" w14:textId="78CCA80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territorializada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áreas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maior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diagnóstico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socioterritorial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47217B1" w14:textId="5E5829F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rede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especial,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8038D36" w14:textId="774F56A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coordenar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SUAS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normatizando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regulando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B4D1507" w14:textId="39BB2D2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assegurando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tesouro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municipal;</w:t>
      </w:r>
    </w:p>
    <w:p w14:paraId="472C812A" w14:textId="5CC0739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submeter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FMAS;</w:t>
      </w:r>
    </w:p>
    <w:p w14:paraId="1163F703" w14:textId="5E1FE8D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cumprir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providências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pendências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irregularidades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junto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CMAS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CIB;</w:t>
      </w:r>
    </w:p>
    <w:p w14:paraId="4307DDE5" w14:textId="09351AD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municipal;</w:t>
      </w:r>
    </w:p>
    <w:p w14:paraId="1FD86FB0" w14:textId="55525DB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humanos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NOB/ RH – SUAS;</w:t>
      </w:r>
    </w:p>
    <w:p w14:paraId="4D417014" w14:textId="53E1887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Plano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responsabilidades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estágio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patamares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negociação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6275917F" w14:textId="0E3C774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expedir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FMAS,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535B93FF" w14:textId="40B7931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equipamentos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B4975D3" w14:textId="38627E74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sz w:val="22"/>
          <w:szCs w:val="22"/>
        </w:rPr>
        <w:t>XXIX</w:t>
      </w:r>
      <w:r w:rsidRPr="00EC53C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53CE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EC53CE">
        <w:rPr>
          <w:rFonts w:ascii="Arial" w:hAnsi="Arial" w:cs="Arial"/>
          <w:sz w:val="22"/>
          <w:szCs w:val="22"/>
        </w:rPr>
        <w:t>alimentar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sz w:val="22"/>
          <w:szCs w:val="22"/>
        </w:rPr>
        <w:t>manter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atualizado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sz w:val="22"/>
          <w:szCs w:val="22"/>
        </w:rPr>
        <w:t>Censo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SUAS;</w:t>
      </w:r>
    </w:p>
    <w:p w14:paraId="4C3A17D6" w14:textId="3599EC54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sz w:val="22"/>
          <w:szCs w:val="22"/>
        </w:rPr>
        <w:lastRenderedPageBreak/>
        <w:t>XXX</w:t>
      </w:r>
      <w:r w:rsidRPr="00EC53C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53CE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EC53CE">
        <w:rPr>
          <w:rFonts w:ascii="Arial" w:hAnsi="Arial" w:cs="Arial"/>
          <w:sz w:val="22"/>
          <w:szCs w:val="22"/>
        </w:rPr>
        <w:t>alimentar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sz w:val="22"/>
          <w:szCs w:val="22"/>
        </w:rPr>
        <w:t>manter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atualizado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sz w:val="22"/>
          <w:szCs w:val="22"/>
        </w:rPr>
        <w:t>Cadastro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sz w:val="22"/>
          <w:szCs w:val="22"/>
        </w:rPr>
        <w:t>Entidade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Social – CNEAS de que </w:t>
      </w:r>
      <w:proofErr w:type="spellStart"/>
      <w:r w:rsidRPr="00EC53CE">
        <w:rPr>
          <w:rFonts w:ascii="Arial" w:hAnsi="Arial" w:cs="Arial"/>
          <w:sz w:val="22"/>
          <w:szCs w:val="22"/>
        </w:rPr>
        <w:t>trata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sz w:val="22"/>
          <w:szCs w:val="22"/>
        </w:rPr>
        <w:t>inciso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XI do art. 19 da Lei Federal nº 8.742, de 1993;</w:t>
      </w:r>
    </w:p>
    <w:p w14:paraId="0DBFD543" w14:textId="1AA16985" w:rsidR="00AE642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implantar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conjunto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Sistema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Sistema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Rede SUAS;</w:t>
      </w:r>
    </w:p>
    <w:p w14:paraId="0CF2FC87" w14:textId="0FAA27A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infraestrutura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funcionamento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materiais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humanos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inclusive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despesas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passagens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traslados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estiverem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exercício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0CE6D54" w14:textId="6075D2E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Plano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Plurianual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o Plano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compromissos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assumidos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6A4528BF" w14:textId="2328C7F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primando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exercendo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compartilhada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Distrito Federal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A39238A" w14:textId="6E8CAD6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dirigentes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além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estudos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pesquisas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diagnósticos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relacionados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especial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fundamentar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análise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equacionamento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D156482" w14:textId="25E5B56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preconiza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LOAS;</w:t>
      </w:r>
    </w:p>
    <w:p w14:paraId="38BDC756" w14:textId="786D91B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fluxos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contrarreferência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3950EAC" w14:textId="1E7C6DD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860D3EB" w14:textId="268E2F2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protocolos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CIT;</w:t>
      </w:r>
    </w:p>
    <w:p w14:paraId="65AECCBD" w14:textId="37B42D3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educação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permanente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DF15DDA" w14:textId="16381B8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com outros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fazem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interface com o SUAS;</w:t>
      </w:r>
    </w:p>
    <w:p w14:paraId="2FAA6351" w14:textId="0184135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intersetorial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Sistema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Sistema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Justiça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6B0DC4A" w14:textId="42E76EB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39FFCFC3" w14:textId="438E2D9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assumir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no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lhe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couber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5D22D41" w14:textId="4078662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mecanismos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cooperação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intergovernamental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viabilizem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técnica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regional,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CIB;</w:t>
      </w:r>
    </w:p>
    <w:p w14:paraId="0B1EE00C" w14:textId="65F4C88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subsidiem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federal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municipal;</w:t>
      </w:r>
    </w:p>
    <w:p w14:paraId="3A85E023" w14:textId="7ABCD5E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zelar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indireta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inclusive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CF465E6" w14:textId="3965EA7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assessorar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adequação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viabilizando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estratégias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mecanismos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aferir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pertencimento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rede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local,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federais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6F5F177" w14:textId="15E1777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XLIX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parcerias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firmadas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promover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43D0B98" w14:textId="05B17AC3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sz w:val="22"/>
          <w:szCs w:val="22"/>
        </w:rPr>
        <w:lastRenderedPageBreak/>
        <w:t xml:space="preserve">L – </w:t>
      </w:r>
      <w:proofErr w:type="spellStart"/>
      <w:r w:rsidRPr="00EC53CE">
        <w:rPr>
          <w:rFonts w:ascii="Arial" w:hAnsi="Arial" w:cs="Arial"/>
          <w:sz w:val="22"/>
          <w:szCs w:val="22"/>
        </w:rPr>
        <w:t>normatizar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local, o </w:t>
      </w:r>
      <w:proofErr w:type="spellStart"/>
      <w:r w:rsidRPr="00EC53CE">
        <w:rPr>
          <w:rFonts w:ascii="Arial" w:hAnsi="Arial" w:cs="Arial"/>
          <w:sz w:val="22"/>
          <w:szCs w:val="22"/>
        </w:rPr>
        <w:t>financiamento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integral dos </w:t>
      </w:r>
      <w:proofErr w:type="spellStart"/>
      <w:r w:rsidRPr="00EC53CE">
        <w:rPr>
          <w:rFonts w:ascii="Arial" w:hAnsi="Arial" w:cs="Arial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sz w:val="22"/>
          <w:szCs w:val="22"/>
        </w:rPr>
        <w:t>ofertados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pelas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vinculadas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SUAS, </w:t>
      </w:r>
      <w:proofErr w:type="spellStart"/>
      <w:r w:rsidRPr="00EC53CE">
        <w:rPr>
          <w:rFonts w:ascii="Arial" w:hAnsi="Arial" w:cs="Arial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§3º do art. 6º B da Lei Federal nº 8.742, de 1993, e </w:t>
      </w:r>
      <w:proofErr w:type="spellStart"/>
      <w:r w:rsidRPr="00EC53CE">
        <w:rPr>
          <w:rFonts w:ascii="Arial" w:hAnsi="Arial" w:cs="Arial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regulamentação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sz w:val="22"/>
          <w:szCs w:val="22"/>
        </w:rPr>
        <w:t xml:space="preserve"> federal;</w:t>
      </w:r>
    </w:p>
    <w:p w14:paraId="54F283E2" w14:textId="43CF155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aferir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padrões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6BA61BF" w14:textId="351A59E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encaminhar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trimestrais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físico-financeira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título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744C4C2" w14:textId="4EF6D57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negociação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543D47BA" w14:textId="6E692AE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estimular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mobilização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4DF59112" w14:textId="53A08C0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contínuo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60CB4BF5" w14:textId="5127EE5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publicidade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dispêndio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722DEFD6" w14:textId="03EF294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LVII – submeter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trimestralmente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sintética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analítica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relatórios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CMAS.</w:t>
      </w:r>
    </w:p>
    <w:p w14:paraId="6756CBE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7D9D4D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AC7B14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IV</w:t>
      </w:r>
    </w:p>
    <w:p w14:paraId="69E88A7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 PLANO MUNICIPAL DE ASSISTÊNCIA SOCIAL</w:t>
      </w:r>
    </w:p>
    <w:p w14:paraId="1915E93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78A12DA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A61933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18. O Plano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é um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instrumento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estratégico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contempla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propostas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Ricardo.</w:t>
      </w:r>
    </w:p>
    <w:p w14:paraId="6C58C71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§1º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Plano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-se-á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4 (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quatro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coincidindo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Plano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Plurianual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contemplará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24DACD12" w14:textId="090EEF3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diagnóstico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socioterritorial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8F9EDFF" w14:textId="1CFCF9B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específicos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72C5443" w14:textId="3003987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prioridades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AA9554B" w14:textId="14FC408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estratégicas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D3A1EF8" w14:textId="2C436EB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9C3128B" w14:textId="31FAC11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resultados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impactos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esperados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BAB417B" w14:textId="7BCD5C3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materiais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humanos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disponíveis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3FBBD23" w14:textId="1057051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mecanismos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B93BD0F" w14:textId="756C1BA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monitoramento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DC8BE04" w14:textId="4F6DA1A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cronograma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92E89E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O Plano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além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anterior,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096E2736" w14:textId="3BDF17F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61E2FB7C" w14:textId="78A78DE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expressam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compromisso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5BD6BF14" w14:textId="4EFC176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intersetoriais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86D45D8" w14:textId="381AE30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técnico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SUAS.</w:t>
      </w:r>
    </w:p>
    <w:p w14:paraId="731D58A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7DF72D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2463A8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IV</w:t>
      </w:r>
    </w:p>
    <w:p w14:paraId="3B417B9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Das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Pactuação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Deliberação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do SUAS</w:t>
      </w:r>
    </w:p>
    <w:p w14:paraId="5A2ED1B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130BB2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lastRenderedPageBreak/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</w:t>
      </w:r>
    </w:p>
    <w:p w14:paraId="558917F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 CONSELHO MUNICIPAL DE ASSISTÊNCIA SOCIAL</w:t>
      </w:r>
    </w:p>
    <w:p w14:paraId="7B63EEDA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1A972A3" w14:textId="007AA04A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19.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CMAS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superior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colegiada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permanente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composição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Doutor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Ricardo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cujos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nomeados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Prefeito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têm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mandato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 (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permitida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recondução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igual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período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C9F854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 1º O CMAS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composto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6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suplentes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6EC98348" w14:textId="5FC0DF11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3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governamentais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3BE622F" w14:textId="053A8AE3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3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Resoluções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dentre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escolhidos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sob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Ministério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9C976D1" w14:textId="31EED5A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Consideram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para fins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40E036A6" w14:textId="3287EB98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àqueles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sob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grupos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têm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luta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49D488E" w14:textId="23660455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àquelas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tenham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grupos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50F57003" w14:textId="1BC0E9C1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de </w:t>
      </w: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legítimas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associações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sindicatos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federações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profissões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regulamentadas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fóruns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defendem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interesses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72D709D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§3º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investidos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cargo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chefia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considerados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trabalhadores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EA071E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§4º O CMAS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presidido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um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dentre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mandato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2 (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permitida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recondução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igual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período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C3DFF1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§5°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mandato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alternância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presidência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vice-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presidência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CMAS.</w:t>
      </w:r>
    </w:p>
    <w:p w14:paraId="616FBED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§6º O CMAS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qual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estrutura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disciplinada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6FA164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33479A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20. O CMAS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reunir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-se-á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ordinariamente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vez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mês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extraordinariamente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sempre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;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reuniões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abertas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pauta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previamente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funcionará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F2BE4C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também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quórum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mínimo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reuniões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Plenário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para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questões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suplência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mandato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faltas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1F5138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1FA8BA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21.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conselheiros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CMAS é de interesse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relevante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valor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remunerada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3CBE08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F708B1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22.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do SUAS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intermédio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CMAS e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além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outros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fóruns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discussão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civil.</w:t>
      </w:r>
    </w:p>
    <w:p w14:paraId="7B95674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DA7A17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23. Compete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Social:</w:t>
      </w:r>
    </w:p>
    <w:p w14:paraId="12E99B76" w14:textId="52D43F6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publicar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D4162DD" w14:textId="26764DF7" w:rsidR="00AE642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Convocar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ECE2006" w14:textId="5198C81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74AF809C" w14:textId="02CBEC9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0BE5D963" w14:textId="643F029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Plano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apresentado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0BD1500F" w14:textId="6053302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gestor;</w:t>
      </w:r>
    </w:p>
    <w:p w14:paraId="77F8FF8D" w14:textId="726A213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cumprimento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2670B597" w14:textId="6C89939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Brasil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-PAB;</w:t>
      </w:r>
    </w:p>
    <w:p w14:paraId="4CF334F3" w14:textId="74F0333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IX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Normatizar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regular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natureza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privada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campo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local;</w:t>
      </w:r>
    </w:p>
    <w:p w14:paraId="294338FA" w14:textId="3DE9AEB4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inseridas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2ED9B7A" w14:textId="48E0149E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dados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inseridas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privadas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coleta de dados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407243D4" w14:textId="5783DA7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Alimentar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sistemas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coleta de dados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7AA0F1CE" w14:textId="78603A9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Zelar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B696B38" w14:textId="1EB4209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Zelar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implementação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642EEBA" w14:textId="7F5274F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prioridades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competência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0CD35EE" w14:textId="195D8E6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prazos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B9AB591" w14:textId="352CF6A3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>XVII –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a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encaminhada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consonância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093447CE" w14:textId="18FE904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ganhos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desempenho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SUAS;</w:t>
      </w:r>
    </w:p>
    <w:p w14:paraId="35B3724B" w14:textId="78F29F9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Índice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Brasil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-IGD-PAB,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Índice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Sistema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IGD-SUAS;</w:t>
      </w:r>
    </w:p>
    <w:p w14:paraId="40347386" w14:textId="0EE0E72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IGD-PAB e IGD-SUAS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técnico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operacional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CMAS;</w:t>
      </w:r>
    </w:p>
    <w:p w14:paraId="3740B213" w14:textId="65109CB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Plano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Plurianual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da Lei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que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tanto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oriundos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Estado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alocados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FMAS;</w:t>
      </w:r>
    </w:p>
    <w:p w14:paraId="47FC46F0" w14:textId="4958A7E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aceite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expansão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43A3C55" w14:textId="692EA5E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XXIII –  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FMAS;</w:t>
      </w:r>
    </w:p>
    <w:p w14:paraId="392945DF" w14:textId="3D9E9BD4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no Mural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outro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decisões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Resoluções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r w:rsidRPr="00EC53CE">
        <w:rPr>
          <w:rFonts w:ascii="Arial" w:hAnsi="Arial" w:cs="Arial"/>
          <w:color w:val="242021"/>
          <w:sz w:val="22"/>
          <w:szCs w:val="22"/>
        </w:rPr>
        <w:lastRenderedPageBreak/>
        <w:t xml:space="preserve">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acerca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FMAS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pareceres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emitidos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F6A504D" w14:textId="08CCEDD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 –  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Receber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apurar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prosseguimento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denúncias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0AEEBCD" w14:textId="2399C5DD" w:rsidR="00AE642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 – 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permanente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0FF4B21" w14:textId="259282C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XXVII – 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6CF209DA" w14:textId="6B81F8E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XXVIII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Notificar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fundamentadamente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indeferimento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requerimento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C70DA5F" w14:textId="74359B7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XXIX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307630D3" w14:textId="479AFCD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Emitir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resolução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13BDEFA" w14:textId="1FE2129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 – Registrar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reuniões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0E5EBDF" w14:textId="3EEF8F2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convidar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especialistas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sempre que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fizerem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F9695B0" w14:textId="0752DD4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XXXIII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parecer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repassados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4EF96C4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1BCF7C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24. O CMAS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forma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exercício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primando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transparência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97A686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construção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técnico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480432D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41EA8B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73B22B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</w:t>
      </w:r>
    </w:p>
    <w:p w14:paraId="02AF7CB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CONFERÊNCIA MUNICIPAL DE ASSISTÊNCIA SOCIAL</w:t>
      </w:r>
    </w:p>
    <w:p w14:paraId="2150D8E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359D7D3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5D8B3E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25.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máxima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debate,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avaliação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civil.</w:t>
      </w:r>
    </w:p>
    <w:p w14:paraId="157A0BA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61E70D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26.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58DCD501" w14:textId="10FEA82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ampla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prévia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documento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convocatório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especificando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prazos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responsáveis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organizadora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AE477D5" w14:textId="1486D4F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sujeitos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inclusive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acessibilidade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9D5F282" w14:textId="13A3C81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procedimentos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designação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delegados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governamentais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escolha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delegados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sociedade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civil;</w:t>
      </w:r>
    </w:p>
    <w:p w14:paraId="3FC52DAF" w14:textId="0D3EF59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Publicidade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resultados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A765EDB" w14:textId="43606B4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Determinação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modelo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 e</w:t>
      </w:r>
    </w:p>
    <w:p w14:paraId="7A21A796" w14:textId="6500A9A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78270FE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D9974F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27.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convocada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ordinariamente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quatro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extraordinariamente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2 (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maioria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329318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E5DBCF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D264C8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III</w:t>
      </w:r>
    </w:p>
    <w:p w14:paraId="6152D54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PARTICIPAÇÃO DOS USUÁRIOS</w:t>
      </w:r>
    </w:p>
    <w:p w14:paraId="41CDA0E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8A34F2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C21828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28.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fundamental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viabilizar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exercício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estímulo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protagonismo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4E301495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C9A828A" w14:textId="52F9A4B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sujeitos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sujeitos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coletivos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expressos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caracterizado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protagonismo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enquanto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E8EB2D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36F994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29.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estímulo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movimentos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apoio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diversos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espaços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fórum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debate,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audiência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bairro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coletivo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junto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B57207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São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estratégias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presença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dentre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gestor;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ampla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descentralização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locais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0885448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7BA1E99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0D8B592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IV</w:t>
      </w:r>
    </w:p>
    <w:p w14:paraId="35E87E4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REPRESENTAÇÃO DO MUNICÍPIO NAS INSTÂNCIAS</w:t>
      </w:r>
    </w:p>
    <w:p w14:paraId="3341DB8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DE NEGOCIAÇÃO E PACTUAÇÃO DO SUAS</w:t>
      </w:r>
    </w:p>
    <w:p w14:paraId="008F096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A67B17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30.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Intergestores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Bipartite – CIB e Tripartite – CIT,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instâncias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negociação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pactuação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aspectos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operacionais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Colegiado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COEGEMAS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Colegiado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CONGEMAS.</w:t>
      </w:r>
    </w:p>
    <w:p w14:paraId="470F28C6" w14:textId="65797F93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§1º O CONGEMAS E COEGEMAS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fins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lucrativos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representam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municipais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congêneres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declarados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utilidade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relevante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onerando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associação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associado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B9C086A" w14:textId="012019A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O COEGEMAS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assumir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denominações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depender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especificidades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regionais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BFB897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BD4CA6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D66CD0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V</w:t>
      </w:r>
    </w:p>
    <w:p w14:paraId="7BD3808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BENEFÍCIOS EVENTUAIS, DOS SERVIÇOS, DOS PROGRAMAS DE ASSISTÊNCIA SOCIAL E DOS PROJETOS DE ENFRENTAMENTO DA POBREZA</w:t>
      </w:r>
    </w:p>
    <w:p w14:paraId="7BF744E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581AA3F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</w:t>
      </w:r>
    </w:p>
    <w:p w14:paraId="1111ED9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BENEFÍCIOS EVENTUAIS</w:t>
      </w:r>
    </w:p>
    <w:p w14:paraId="77D3802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7E960D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31.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suplementares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provisórias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temporária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calamidade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prevista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federal nº 8.742, de 1993.</w:t>
      </w:r>
    </w:p>
    <w:p w14:paraId="1F35FDB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incluem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modalidade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campo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saúde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educação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habitação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r w:rsidRPr="00EC53CE">
        <w:rPr>
          <w:rFonts w:ascii="Arial" w:hAnsi="Arial" w:cs="Arial"/>
          <w:color w:val="242021"/>
          <w:sz w:val="22"/>
          <w:szCs w:val="22"/>
        </w:rPr>
        <w:lastRenderedPageBreak/>
        <w:t xml:space="preserve">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segurança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alimentar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554145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B659E9C" w14:textId="77777777" w:rsidR="00540C0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32.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organicamente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</w:t>
      </w:r>
      <w:r w:rsidR="00540C0B">
        <w:rPr>
          <w:rFonts w:ascii="Arial" w:hAnsi="Arial" w:cs="Arial"/>
          <w:color w:val="242021"/>
          <w:sz w:val="22"/>
          <w:szCs w:val="22"/>
        </w:rPr>
        <w:t xml:space="preserve">  </w:t>
      </w:r>
    </w:p>
    <w:p w14:paraId="3EF63A0F" w14:textId="77777777" w:rsidR="00540C0B" w:rsidRDefault="00540C0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59E831D" w14:textId="24828A09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1D18BA17" w14:textId="4785AB3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subordinação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prévias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vinculação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quaisquer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contrapartidas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8A7D3EE" w14:textId="6E05F44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Desvinculação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comprovações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complexas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vexatórias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estigmatizam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beneficiários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B226E98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97A278E" w14:textId="3F5FD95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prontidão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E4C411D" w14:textId="4D551F2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igualdade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às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fruição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E6AB6CC" w14:textId="559852D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Ampla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divulgação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EF391F8" w14:textId="4FAFB74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133934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2A545B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33.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pecúnia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bens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consumo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9701ED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D5B57F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34.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público-alvo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identificado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estudos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diagnóstico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disponibilizadas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Vigilância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vistas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44AC4B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368C75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5B3426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</w:t>
      </w:r>
    </w:p>
    <w:p w14:paraId="7907F47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PRESTAÇÃO DE BENEFÍCIOS EVENTUAIS</w:t>
      </w:r>
    </w:p>
    <w:p w14:paraId="413A3AC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71EE552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F46EB4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35.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temporária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calamidade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contingências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sujeitos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EBDD34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prazos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Resolução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prevê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art. 22, §1º, da Lei Federal nº 8.742, de 1993.</w:t>
      </w:r>
    </w:p>
    <w:p w14:paraId="135FDAC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F59122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36.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7197645" w14:textId="23164A0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genitora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residir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6DB1FB1" w14:textId="29239DD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nascituro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mãe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impossibilitada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requerer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tenha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falecido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F5B8F0F" w14:textId="566B98D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genitora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trânsito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368C1069" w14:textId="78D2AE5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genitora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acolhida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SUAS.</w:t>
      </w:r>
    </w:p>
    <w:p w14:paraId="365E5D7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eventual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pecúnia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bens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consumo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ambas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requerente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disponibilidade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administração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D3394F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EE6843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37.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reduzir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provocadas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urgentes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enfrentar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advindas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um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provedores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0C6A626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eventual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morte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requerente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trabalho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com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84E0D5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CABB955" w14:textId="77777777" w:rsidR="00540C0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38.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temporária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destinado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minimizar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</w:p>
    <w:p w14:paraId="1C5E5A5A" w14:textId="77777777" w:rsidR="00540C0B" w:rsidRDefault="00540C0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563A3F8" w14:textId="52F1ABF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decorrentes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contingências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buscando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fortalecimento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vínculos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familiares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inserção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A962C4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pecúnia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bens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consumo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temporário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valor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duração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grau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complexidade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identificados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E2C4DD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4B332F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39.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temporária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caracteriza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advento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familiar,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entendidos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49B6B287" w14:textId="4576473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ameaça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padecimentos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0EBB080" w14:textId="6596270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bens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segurança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material;</w:t>
      </w:r>
    </w:p>
    <w:p w14:paraId="6CDECE9A" w14:textId="4C64E80D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agravos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ofensa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AA8DB5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decorrer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de:</w:t>
      </w:r>
    </w:p>
    <w:p w14:paraId="7AF26AB2" w14:textId="56271BC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Ausência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documentação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0F41850" w14:textId="35609D9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mobilidade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intraurbana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F559365" w14:textId="5689B77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passagem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Federação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vistas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convivência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1047DD5" w14:textId="7C4F35E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Ocorrência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violência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física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psicológica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exploração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sexual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ofensa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física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45C1CD5" w14:textId="05D2CBB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circunstancial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ocasionada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ruptura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vínculos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familiares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CCB0A05" w14:textId="02DCD56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idosas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crianças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adolescentes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mulheres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violência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encontram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cumprimento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medida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protetiva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44C3835" w14:textId="6CF3F901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Ausência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limitação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prover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alimentares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membros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B1533A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76B64C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40.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virtude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desastre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calamidade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suplementar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provisória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sobrevivência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assegurar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dignidade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reconstrução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familiar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E073C8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6AAE7E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41.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calamidade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desastre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caracterizam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anormais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decorrentes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baixas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temperaturas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tempestades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enchentes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inversão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térmica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desabamentos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incêndios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epidemias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causem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danos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comunidade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afetada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inclusive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segurança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situações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imprevistas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decorrentes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fortuito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58E89E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concedido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pecúnia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bens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consumo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provisório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suplementar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valor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fixado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grau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complexidade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vulnerabilidade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risco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famílias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indivíduos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afetados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84DB47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812217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42.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editado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procedimentos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fluxos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A9B787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9699F7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lastRenderedPageBreak/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III</w:t>
      </w:r>
    </w:p>
    <w:p w14:paraId="1418369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RECURSOS ORÇAMENTÁRIOS PARA OFERTA DE BENEFÍCIOS EVENTUAIS</w:t>
      </w:r>
    </w:p>
    <w:p w14:paraId="7FF3BAF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4595E3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43.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despesas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decorrentes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dotações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338049C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despesas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previstas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- LOA.</w:t>
      </w:r>
    </w:p>
    <w:p w14:paraId="5B9C5E4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18D94F4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</w:t>
      </w:r>
    </w:p>
    <w:p w14:paraId="63C2A12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SERVIÇOS</w:t>
      </w:r>
    </w:p>
    <w:p w14:paraId="3CACE02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DA2889D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F213973" w14:textId="700DD49D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44.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continuadas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melhoria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cujas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voltadas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básicas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princípios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Federal nº 8.742, de 1993,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Tipificação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48A5CA7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</w:p>
    <w:p w14:paraId="1B55215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III</w:t>
      </w:r>
    </w:p>
    <w:p w14:paraId="2BEC752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DOS PROGRAMAS DE ASSISTÊNCIA SOCIAL</w:t>
      </w:r>
    </w:p>
    <w:p w14:paraId="2957004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9B29CF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45.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compreendem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complementares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tempo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área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abrangência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qualificar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incentivar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melhorar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43C0B7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 1º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obedecidas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Lei Federal nº 8.742, de 1993, e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normas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SUAS,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prioridade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inserção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profissional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social.</w:t>
      </w:r>
    </w:p>
    <w:p w14:paraId="2E90B15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 2º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voltados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idoso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deficiência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devidamente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articulados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continuada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art. 20 da Lei Federal nº 8.742, de 1993.</w:t>
      </w:r>
    </w:p>
    <w:p w14:paraId="7FF1348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378B63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bCs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bCs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bCs/>
          <w:color w:val="242021"/>
          <w:sz w:val="22"/>
          <w:szCs w:val="22"/>
        </w:rPr>
        <w:t xml:space="preserve"> IV</w:t>
      </w:r>
    </w:p>
    <w:p w14:paraId="28F27AF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bCs/>
          <w:color w:val="242021"/>
          <w:sz w:val="22"/>
          <w:szCs w:val="22"/>
        </w:rPr>
      </w:pPr>
      <w:r w:rsidRPr="00EC53CE">
        <w:rPr>
          <w:rFonts w:ascii="Arial" w:hAnsi="Arial" w:cs="Arial"/>
          <w:b/>
          <w:bCs/>
          <w:color w:val="242021"/>
          <w:sz w:val="22"/>
          <w:szCs w:val="22"/>
        </w:rPr>
        <w:t>DOS PROJETOS DE ENFRENTAMENTO A POBREZA</w:t>
      </w:r>
    </w:p>
    <w:p w14:paraId="79638D7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B383D7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46.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enfrentamento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pobreza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compreendem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investimento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econômico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-social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grupos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populares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buscando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subsidiar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tecnicamente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iniciativas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lhes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capacidade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produtiva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melhoria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condições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elevação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padrão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preservação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meio-ambiente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3799FF1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9DB72D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V</w:t>
      </w:r>
    </w:p>
    <w:p w14:paraId="62D0798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DA RELAÇÃO COM AS ENTIDADES E ORGANIZAÇÕES DE ASSISTÊNCIA SOCIAL</w:t>
      </w:r>
    </w:p>
    <w:p w14:paraId="72D2A2A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5B5E6F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47. São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fins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lucrativos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isolada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cumulativamente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atendimento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assessoramento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beneficiários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abrangidos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Lei Federal nº 8.742, de 1993,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atuam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defesa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E6B2BFB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083459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48.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para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obtenha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autorização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funcionamento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âmbito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r w:rsidRPr="00EC53CE">
        <w:rPr>
          <w:rFonts w:ascii="Arial" w:hAnsi="Arial" w:cs="Arial"/>
          <w:color w:val="242021"/>
          <w:sz w:val="22"/>
          <w:szCs w:val="22"/>
        </w:rPr>
        <w:lastRenderedPageBreak/>
        <w:t xml:space="preserve">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parâmetros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definidos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771203E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92BADF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49.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6BBDFE33" w14:textId="66A48FB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caráter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continuado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permanente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2CDD513" w14:textId="522AC6C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Assegurar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perspectiva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autonomia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D741F21" w14:textId="4E18DC4B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gratuidade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universalidade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todos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ADB1E1D" w14:textId="2AC809D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Garantir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participativos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usuários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busca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cumprimento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31F124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A0E170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50.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demonstrarão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39960F1B" w14:textId="572DE90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pessoa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jurídica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privado,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devidamente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constituída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4CCE550D" w14:textId="1751714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rendas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eventual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resultado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território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manutenção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2A1B030" w14:textId="2A74AD4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FF0DA76" w14:textId="592864D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Ter expresso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relatório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45F99D1C" w14:textId="7DB27DF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finalidades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estatutárias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40D1683" w14:textId="4396C34C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b)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525632D" w14:textId="09CF035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c)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origem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65A890C" w14:textId="65C0EEE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d)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infraestrutura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A4840B7" w14:textId="359B331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e)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identificação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0E77E8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pedidos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seguintes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etapas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análise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3BEDD6E9" w14:textId="1E040B9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análise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documental;</w:t>
      </w:r>
    </w:p>
    <w:p w14:paraId="2E5A88A1" w14:textId="1C3E7575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visita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técnica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quando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subsidiar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análise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238561D" w14:textId="232CC0C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elaboração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parecer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Comissão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64C7745" w14:textId="06ED544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pauta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discussão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deliberação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processos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reunião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plenária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E8858A6" w14:textId="59C6555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publicação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decisão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plenária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FBDB631" w14:textId="28C5FED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emissão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comprovante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1C034022" w14:textId="4ECE7C6F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notificação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43C0130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AA6894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CAPÍTULO VI</w:t>
      </w:r>
    </w:p>
    <w:p w14:paraId="21ED0FD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 FINANCIAMENTO DA POLÍTICA MUNICIPAL DE ASSISTÊNCIA SOCIA</w:t>
      </w:r>
      <w:r w:rsidRPr="00EC53CE">
        <w:rPr>
          <w:rFonts w:ascii="Arial" w:hAnsi="Arial" w:cs="Arial"/>
          <w:color w:val="242021"/>
          <w:sz w:val="22"/>
          <w:szCs w:val="22"/>
        </w:rPr>
        <w:t>L</w:t>
      </w:r>
    </w:p>
    <w:p w14:paraId="1E852A35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5B1063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51.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Política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é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previsto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através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instrumentos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municipal, que se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desdobram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Plano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Plurianual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Diretrizes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2347AF4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: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inserido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devendo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alocados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voltados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operacionalização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aprimoramento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viabilização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01C7EE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03E2A2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52.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Caberá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gestor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responsável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utilização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lastRenderedPageBreak/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meio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respectivos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independentemente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repassador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BE4152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transferidores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requisitar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informações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à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oriundos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para fins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análise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acompanhamento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boa e regular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utilização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580B493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4405701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proofErr w:type="spellStart"/>
      <w:r w:rsidRPr="00EC53CE">
        <w:rPr>
          <w:rFonts w:ascii="Arial" w:hAnsi="Arial" w:cs="Arial"/>
          <w:b/>
          <w:color w:val="242021"/>
          <w:sz w:val="22"/>
          <w:szCs w:val="22"/>
        </w:rPr>
        <w:t>Seção</w:t>
      </w:r>
      <w:proofErr w:type="spellEnd"/>
      <w:r w:rsidRPr="00EC53CE">
        <w:rPr>
          <w:rFonts w:ascii="Arial" w:hAnsi="Arial" w:cs="Arial"/>
          <w:b/>
          <w:color w:val="242021"/>
          <w:sz w:val="22"/>
          <w:szCs w:val="22"/>
        </w:rPr>
        <w:t xml:space="preserve"> I</w:t>
      </w:r>
    </w:p>
    <w:p w14:paraId="1FAB094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b/>
          <w:color w:val="242021"/>
          <w:sz w:val="22"/>
          <w:szCs w:val="22"/>
        </w:rPr>
      </w:pPr>
      <w:r w:rsidRPr="00EC53CE">
        <w:rPr>
          <w:rFonts w:ascii="Arial" w:hAnsi="Arial" w:cs="Arial"/>
          <w:b/>
          <w:color w:val="242021"/>
          <w:sz w:val="22"/>
          <w:szCs w:val="22"/>
        </w:rPr>
        <w:t>DO FUNDO MUNICIPAL DE ASSISTÊNCIA SOCIAL</w:t>
      </w:r>
    </w:p>
    <w:p w14:paraId="7F8F2B6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281D78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53. 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contábil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objetivo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proporcionar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sócioassistenciais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já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restou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legislação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3A3540B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5E9E9CB7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8005F95" w14:textId="30FFC112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54.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Constitui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FMAS:</w:t>
      </w:r>
    </w:p>
    <w:p w14:paraId="315FAC53" w14:textId="6288919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provenientes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Estadual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3E62B3C9" w14:textId="2C46B4A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Dotações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Município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adicionais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a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transcorrer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cada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exercício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6B97F25E" w14:textId="2F8C9613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auxílios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contribuições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subvenções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nacionais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Governamentais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Governamentais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3F3A03DF" w14:textId="3F662DF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fundo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forma da lei;</w:t>
      </w:r>
    </w:p>
    <w:p w14:paraId="2FB36871" w14:textId="4DFE5F7B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 – </w:t>
      </w:r>
      <w:r w:rsidRPr="00EC53CE">
        <w:rPr>
          <w:rFonts w:ascii="Arial" w:hAnsi="Arial" w:cs="Arial"/>
          <w:color w:val="242021"/>
          <w:sz w:val="22"/>
          <w:szCs w:val="22"/>
        </w:rPr>
        <w:tab/>
        <w:t xml:space="preserve">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parcelas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produto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arrecadação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próprias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oriundas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financiamentos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atividades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econômicas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transferências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direito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receber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força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lei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convênios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setor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10BA7625" w14:textId="32A1CA1A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Produtos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convênios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firmados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financiadoras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5C531AAB" w14:textId="03D307D0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espécie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diretamente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Fundo;</w:t>
      </w:r>
    </w:p>
    <w:p w14:paraId="7B32F8EB" w14:textId="51DF6B2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Outras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venham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ser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legalmente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instituídas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6D8457AA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§1º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dotação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orçamentária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prevista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automaticamente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transferida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logo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sejam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realizadas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correspondentes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0923FE3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§2º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compõem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Fundo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depositados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instituições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financeiras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oficiais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especial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sobre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denominação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–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FMAS.</w:t>
      </w:r>
    </w:p>
    <w:p w14:paraId="44DB1A6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§3º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recebedoras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federal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abertas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Fundo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2491C12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6AB00A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55. O FMAS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gerido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sob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orientação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fiscalização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6944F58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Parágrafo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único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orçamento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Social.</w:t>
      </w:r>
    </w:p>
    <w:p w14:paraId="158D6890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6CF1083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56.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Fundo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– FMAS,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aplicados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:</w:t>
      </w:r>
    </w:p>
    <w:p w14:paraId="75D5371D" w14:textId="031EF15E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Financiamento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total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Secretaria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Órgão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conveniado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0FB04D99" w14:textId="551E651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parcerias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entre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poder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público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para 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execução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programas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projetos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socioassistencial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lastRenderedPageBreak/>
        <w:t>específicos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799D9602" w14:textId="0A18D0D8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III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Aquisição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material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permanente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consumo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de outros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insumos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necessários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socioassistenciais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;</w:t>
      </w:r>
    </w:p>
    <w:p w14:paraId="2D90CA1B" w14:textId="75109C66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IV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Construção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reforma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ampliação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aquisição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ou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locação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imóveis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prestação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serviços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26A63F8F" w14:textId="194CDC2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>V –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Desenvolvimento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aperfeiçoamento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instrumentos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gestão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planejamento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administração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controle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Social;</w:t>
      </w:r>
    </w:p>
    <w:p w14:paraId="52E10AF1" w14:textId="34A6C1F9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 – </w:t>
      </w:r>
      <w:r w:rsidRPr="00EC53CE">
        <w:rPr>
          <w:rFonts w:ascii="Arial" w:hAnsi="Arial" w:cs="Arial"/>
          <w:color w:val="242021"/>
          <w:sz w:val="22"/>
          <w:szCs w:val="22"/>
        </w:rPr>
        <w:tab/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Pagamento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benefícios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eventuais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disposto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inciso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I do art. 15 da Lei Federal nº 8.742, de 1993;</w:t>
      </w:r>
    </w:p>
    <w:p w14:paraId="1E6DB005" w14:textId="7C6C4652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VII –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Pagamento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profissionais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que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integrarem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equipes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referência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responsáveis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pela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oferta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daquelas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conforme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percentual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apresentado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Ministério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Cidadania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aprovado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Nacional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 - CNAS.</w:t>
      </w:r>
    </w:p>
    <w:p w14:paraId="71067BF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3B573F83" w14:textId="77777777" w:rsidR="00AE642B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57.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repasse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recursos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para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entidades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organizações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devidamente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inscritas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no CMAS,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será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efetivado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por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intermédio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do FMAS,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acordo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</w:p>
    <w:p w14:paraId="4A747087" w14:textId="77777777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0CDBB5F" w14:textId="1D2C603B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com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critérios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estabelecidos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pelo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Conselho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Municipal de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Assistência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Social,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observando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o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disposto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nesta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Lei.</w:t>
      </w:r>
    </w:p>
    <w:p w14:paraId="0F99F7D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20C6B6A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242021"/>
          <w:sz w:val="22"/>
          <w:szCs w:val="22"/>
        </w:rPr>
        <w:t xml:space="preserve">Art. 58.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Esta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lei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entra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vigor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na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data da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sua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publicação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,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revoando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-se as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disposições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em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 xml:space="preserve"> </w:t>
      </w:r>
      <w:proofErr w:type="spellStart"/>
      <w:r w:rsidRPr="00EC53CE">
        <w:rPr>
          <w:rFonts w:ascii="Arial" w:hAnsi="Arial" w:cs="Arial"/>
          <w:color w:val="242021"/>
          <w:sz w:val="22"/>
          <w:szCs w:val="22"/>
        </w:rPr>
        <w:t>contrário</w:t>
      </w:r>
      <w:proofErr w:type="spellEnd"/>
      <w:r w:rsidRPr="00EC53CE">
        <w:rPr>
          <w:rFonts w:ascii="Arial" w:hAnsi="Arial" w:cs="Arial"/>
          <w:color w:val="242021"/>
          <w:sz w:val="22"/>
          <w:szCs w:val="22"/>
        </w:rPr>
        <w:t>.</w:t>
      </w:r>
    </w:p>
    <w:p w14:paraId="7B2548D5" w14:textId="606814DA" w:rsidR="00AE642B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13F4EA9B" w14:textId="77777777" w:rsidR="00AE642B" w:rsidRPr="00EC53CE" w:rsidRDefault="00AE642B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746274C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color w:val="242021"/>
          <w:sz w:val="22"/>
          <w:szCs w:val="22"/>
        </w:rPr>
      </w:pPr>
    </w:p>
    <w:p w14:paraId="00260D2C" w14:textId="413A0989" w:rsidR="00072198" w:rsidRPr="00EC53CE" w:rsidRDefault="00072198" w:rsidP="00EC53CE">
      <w:pPr>
        <w:pStyle w:val="Corpodetext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C53CE">
        <w:rPr>
          <w:rFonts w:ascii="Arial" w:hAnsi="Arial" w:cs="Arial"/>
          <w:color w:val="333333"/>
          <w:w w:val="115"/>
          <w:sz w:val="22"/>
          <w:szCs w:val="22"/>
        </w:rPr>
        <w:t>GABINETE</w:t>
      </w:r>
      <w:r w:rsidRPr="00EC53CE">
        <w:rPr>
          <w:rFonts w:ascii="Arial" w:hAnsi="Arial" w:cs="Arial"/>
          <w:color w:val="333333"/>
          <w:spacing w:val="-14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DO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PREFEITO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DE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DOUTOR RICARDO/RS,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="00540C0B" w:rsidRPr="00EC53CE">
        <w:rPr>
          <w:rFonts w:ascii="Arial" w:hAnsi="Arial" w:cs="Arial"/>
          <w:color w:val="333333"/>
          <w:w w:val="115"/>
          <w:sz w:val="22"/>
          <w:szCs w:val="22"/>
        </w:rPr>
        <w:t>ao</w:t>
      </w:r>
      <w:r w:rsidR="006537BA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="00540C0B"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>1</w:t>
      </w:r>
      <w:r w:rsidR="006537BA">
        <w:rPr>
          <w:rFonts w:ascii="Arial" w:hAnsi="Arial" w:cs="Arial"/>
          <w:color w:val="333333"/>
          <w:spacing w:val="-13"/>
          <w:w w:val="115"/>
          <w:sz w:val="22"/>
          <w:szCs w:val="22"/>
        </w:rPr>
        <w:t>º</w:t>
      </w:r>
      <w:r w:rsidR="00540C0B"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dia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do</w:t>
      </w:r>
      <w:r w:rsidRPr="00EC53CE">
        <w:rPr>
          <w:rFonts w:ascii="Arial" w:hAnsi="Arial" w:cs="Arial"/>
          <w:color w:val="333333"/>
          <w:spacing w:val="-14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mês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de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 xml:space="preserve"> ju</w:t>
      </w:r>
      <w:r w:rsidR="00540C0B">
        <w:rPr>
          <w:rFonts w:ascii="Arial" w:hAnsi="Arial" w:cs="Arial"/>
          <w:color w:val="333333"/>
          <w:spacing w:val="-13"/>
          <w:w w:val="115"/>
          <w:sz w:val="22"/>
          <w:szCs w:val="22"/>
        </w:rPr>
        <w:t>l</w:t>
      </w:r>
      <w:r w:rsidRPr="00EC53CE">
        <w:rPr>
          <w:rFonts w:ascii="Arial" w:hAnsi="Arial" w:cs="Arial"/>
          <w:color w:val="333333"/>
          <w:spacing w:val="-13"/>
          <w:w w:val="115"/>
          <w:sz w:val="22"/>
          <w:szCs w:val="22"/>
        </w:rPr>
        <w:t>ho d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o ano de</w:t>
      </w:r>
      <w:r w:rsidRPr="00EC53CE">
        <w:rPr>
          <w:rFonts w:ascii="Arial" w:hAnsi="Arial" w:cs="Arial"/>
          <w:color w:val="333333"/>
          <w:spacing w:val="-23"/>
          <w:w w:val="115"/>
          <w:sz w:val="22"/>
          <w:szCs w:val="22"/>
        </w:rPr>
        <w:t xml:space="preserve"> </w:t>
      </w:r>
      <w:r w:rsidRPr="00EC53CE">
        <w:rPr>
          <w:rFonts w:ascii="Arial" w:hAnsi="Arial" w:cs="Arial"/>
          <w:color w:val="333333"/>
          <w:w w:val="115"/>
          <w:sz w:val="22"/>
          <w:szCs w:val="22"/>
        </w:rPr>
        <w:t>2022.</w:t>
      </w:r>
    </w:p>
    <w:p w14:paraId="4ED40A9B" w14:textId="77777777" w:rsidR="00072198" w:rsidRPr="00EC53CE" w:rsidRDefault="00072198" w:rsidP="00EC53CE">
      <w:pPr>
        <w:pStyle w:val="Corpodetexto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7A7A9F0" w14:textId="77777777" w:rsidR="00072198" w:rsidRPr="00EC53CE" w:rsidRDefault="00072198" w:rsidP="00EC53CE">
      <w:pPr>
        <w:pStyle w:val="Corpodetexto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2F24F2" w14:textId="5C28823F" w:rsidR="00072198" w:rsidRPr="00EC53CE" w:rsidRDefault="009C4707" w:rsidP="00EC53CE">
      <w:pPr>
        <w:pStyle w:val="Corpodetexto"/>
        <w:spacing w:before="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9198687" wp14:editId="7E7527DA">
            <wp:extent cx="4581525" cy="144780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19B3" w14:textId="77777777" w:rsidR="00072198" w:rsidRPr="00EC53CE" w:rsidRDefault="00072198" w:rsidP="00EC53CE">
      <w:pPr>
        <w:pStyle w:val="Corpodetexto"/>
        <w:spacing w:before="6"/>
        <w:jc w:val="both"/>
        <w:rPr>
          <w:rFonts w:ascii="Arial" w:hAnsi="Arial" w:cs="Arial"/>
          <w:sz w:val="22"/>
          <w:szCs w:val="22"/>
        </w:rPr>
      </w:pPr>
    </w:p>
    <w:p w14:paraId="376C86D1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597CDBB6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2605C28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603FCE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220AC1B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11B5D34F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07784B0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2CE3106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1DF9167D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77E06F6E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57677364" w14:textId="36C2A436" w:rsidR="00AE642B" w:rsidRDefault="00AE642B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64228022" w14:textId="1A9A945C" w:rsidR="00AE642B" w:rsidRDefault="00AE642B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373A5880" w14:textId="5462007D" w:rsidR="00AE642B" w:rsidRDefault="00AE642B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EB99B05" w14:textId="417CDFF7" w:rsidR="00AE642B" w:rsidRDefault="00AE642B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91F9BE2" w14:textId="08902159" w:rsidR="00072198" w:rsidRPr="00EC53CE" w:rsidRDefault="00072198" w:rsidP="006537BA">
      <w:pPr>
        <w:pStyle w:val="Standard"/>
        <w:jc w:val="center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JUSTIFICATIVA DO</w:t>
      </w:r>
      <w:r w:rsidR="006537BA">
        <w:rPr>
          <w:rFonts w:ascii="Arial" w:hAnsi="Arial" w:cs="Arial"/>
          <w:sz w:val="22"/>
          <w:szCs w:val="22"/>
          <w:lang w:val="pt-PT"/>
        </w:rPr>
        <w:t xml:space="preserve"> PROJETO DE LEI Nº028/2022 DE 1º DE JUL</w:t>
      </w:r>
      <w:r w:rsidRPr="00EC53CE">
        <w:rPr>
          <w:rFonts w:ascii="Arial" w:hAnsi="Arial" w:cs="Arial"/>
          <w:sz w:val="22"/>
          <w:szCs w:val="22"/>
          <w:lang w:val="pt-PT"/>
        </w:rPr>
        <w:t>HO DE 2022</w:t>
      </w:r>
    </w:p>
    <w:p w14:paraId="5CAC0524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E4E205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263AFFB9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0712171" w14:textId="60D2A1F6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Sr. Presidente:</w:t>
      </w:r>
    </w:p>
    <w:p w14:paraId="4F1CBF98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1CEF185E" w14:textId="0B9C430C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Sres(as). Vereadores(as):</w:t>
      </w:r>
    </w:p>
    <w:p w14:paraId="6E512038" w14:textId="77777777" w:rsidR="00540C0B" w:rsidRDefault="00540C0B" w:rsidP="00540C0B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7E81DE17" w14:textId="77777777" w:rsidR="00540C0B" w:rsidRDefault="00540C0B" w:rsidP="00540C0B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63108E89" w14:textId="394DF377" w:rsidR="00072198" w:rsidRPr="00EC53CE" w:rsidRDefault="00072198" w:rsidP="00540C0B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Encaminhamos à essa Casa Legislativa, para análise, e posterior aprovação, o Projeto de Lei nº028/2022, datado de 30 de junho de 2022, com o fim de implementação e implantação de políticas atinentes a Assistência Social no nosso Município.</w:t>
      </w:r>
    </w:p>
    <w:p w14:paraId="5FE431CC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50573D12" w14:textId="4562FA03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Tal Projeto de Lei visa o atendimento e a adequação a Legislação Federal referente às políticas públicas assistenciais a serem implantadas e implementadas no âmbito do município.</w:t>
      </w:r>
    </w:p>
    <w:p w14:paraId="3CC96AA7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160D6B80" w14:textId="0353F8CC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>Certos de termos esclarecidos os fatos ensejadores da remessa do presente,</w:t>
      </w:r>
      <w:r w:rsidR="00540C0B">
        <w:rPr>
          <w:rFonts w:ascii="Arial" w:hAnsi="Arial" w:cs="Arial"/>
          <w:sz w:val="22"/>
          <w:szCs w:val="22"/>
          <w:lang w:val="pt-PT"/>
        </w:rPr>
        <w:t xml:space="preserve"> </w:t>
      </w:r>
      <w:r w:rsidRPr="00EC53CE">
        <w:rPr>
          <w:rFonts w:ascii="Arial" w:hAnsi="Arial" w:cs="Arial"/>
          <w:sz w:val="22"/>
          <w:szCs w:val="22"/>
          <w:lang w:val="pt-PT"/>
        </w:rPr>
        <w:t>contando com a aprovação do mesmo por Vs. Sas., estendemos nossos votos de grande estima e consideração.</w:t>
      </w:r>
    </w:p>
    <w:p w14:paraId="1BE1D762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421081D3" w14:textId="77777777" w:rsidR="00072198" w:rsidRPr="00EC53CE" w:rsidRDefault="00072198" w:rsidP="00EC53CE">
      <w:pPr>
        <w:pStyle w:val="Standard"/>
        <w:jc w:val="both"/>
        <w:rPr>
          <w:rFonts w:ascii="Arial" w:hAnsi="Arial" w:cs="Arial"/>
          <w:sz w:val="22"/>
          <w:szCs w:val="22"/>
          <w:lang w:val="pt-PT"/>
        </w:rPr>
      </w:pPr>
    </w:p>
    <w:p w14:paraId="0E515079" w14:textId="2BC197CC" w:rsidR="00072198" w:rsidRPr="00EC53CE" w:rsidRDefault="00072198" w:rsidP="00AE642B">
      <w:pPr>
        <w:pStyle w:val="Standard"/>
        <w:ind w:left="3540"/>
        <w:jc w:val="both"/>
        <w:rPr>
          <w:rFonts w:ascii="Arial" w:hAnsi="Arial" w:cs="Arial"/>
          <w:sz w:val="22"/>
          <w:szCs w:val="22"/>
          <w:lang w:val="pt-PT"/>
        </w:rPr>
      </w:pPr>
      <w:r w:rsidRPr="00EC53CE">
        <w:rPr>
          <w:rFonts w:ascii="Arial" w:hAnsi="Arial" w:cs="Arial"/>
          <w:sz w:val="22"/>
          <w:szCs w:val="22"/>
          <w:lang w:val="pt-PT"/>
        </w:rPr>
        <w:t xml:space="preserve">Doutor Ricardo-RS, </w:t>
      </w:r>
      <w:r w:rsidR="00F33998">
        <w:rPr>
          <w:rFonts w:ascii="Arial" w:hAnsi="Arial" w:cs="Arial"/>
          <w:sz w:val="22"/>
          <w:szCs w:val="22"/>
          <w:lang w:val="pt-PT"/>
        </w:rPr>
        <w:t xml:space="preserve">ao </w:t>
      </w:r>
      <w:r w:rsidR="00540C0B">
        <w:rPr>
          <w:rFonts w:ascii="Arial" w:hAnsi="Arial" w:cs="Arial"/>
          <w:sz w:val="22"/>
          <w:szCs w:val="22"/>
          <w:lang w:val="pt-PT"/>
        </w:rPr>
        <w:t>1</w:t>
      </w:r>
      <w:r w:rsidR="006537BA">
        <w:rPr>
          <w:rFonts w:ascii="Arial" w:hAnsi="Arial" w:cs="Arial"/>
          <w:sz w:val="22"/>
          <w:szCs w:val="22"/>
          <w:lang w:val="pt-PT"/>
        </w:rPr>
        <w:t>º</w:t>
      </w:r>
      <w:r w:rsidRPr="00EC53CE">
        <w:rPr>
          <w:rFonts w:ascii="Arial" w:hAnsi="Arial" w:cs="Arial"/>
          <w:sz w:val="22"/>
          <w:szCs w:val="22"/>
          <w:lang w:val="pt-PT"/>
        </w:rPr>
        <w:t xml:space="preserve"> </w:t>
      </w:r>
      <w:r w:rsidR="00F33998">
        <w:rPr>
          <w:rFonts w:ascii="Arial" w:hAnsi="Arial" w:cs="Arial"/>
          <w:sz w:val="22"/>
          <w:szCs w:val="22"/>
          <w:lang w:val="pt-PT"/>
        </w:rPr>
        <w:t xml:space="preserve">dia do mês </w:t>
      </w:r>
      <w:r w:rsidRPr="00EC53CE">
        <w:rPr>
          <w:rFonts w:ascii="Arial" w:hAnsi="Arial" w:cs="Arial"/>
          <w:sz w:val="22"/>
          <w:szCs w:val="22"/>
          <w:lang w:val="pt-PT"/>
        </w:rPr>
        <w:t>de ju</w:t>
      </w:r>
      <w:r w:rsidR="00540C0B">
        <w:rPr>
          <w:rFonts w:ascii="Arial" w:hAnsi="Arial" w:cs="Arial"/>
          <w:sz w:val="22"/>
          <w:szCs w:val="22"/>
          <w:lang w:val="pt-PT"/>
        </w:rPr>
        <w:t>l</w:t>
      </w:r>
      <w:r w:rsidRPr="00EC53CE">
        <w:rPr>
          <w:rFonts w:ascii="Arial" w:hAnsi="Arial" w:cs="Arial"/>
          <w:sz w:val="22"/>
          <w:szCs w:val="22"/>
          <w:lang w:val="pt-PT"/>
        </w:rPr>
        <w:t>ho de 2022.</w:t>
      </w:r>
    </w:p>
    <w:p w14:paraId="6088FD1C" w14:textId="77777777" w:rsidR="00072198" w:rsidRPr="00EC53CE" w:rsidRDefault="00072198" w:rsidP="00AE642B">
      <w:pPr>
        <w:pStyle w:val="Standard"/>
        <w:ind w:left="3540"/>
        <w:jc w:val="both"/>
        <w:rPr>
          <w:rFonts w:ascii="Arial" w:hAnsi="Arial" w:cs="Arial"/>
          <w:sz w:val="22"/>
          <w:szCs w:val="22"/>
          <w:lang w:val="pt-PT"/>
        </w:rPr>
      </w:pPr>
    </w:p>
    <w:p w14:paraId="0262FC22" w14:textId="77777777" w:rsidR="00072198" w:rsidRPr="00EC53CE" w:rsidRDefault="00072198" w:rsidP="00AE642B">
      <w:pPr>
        <w:pStyle w:val="Standard"/>
        <w:ind w:left="3540"/>
        <w:jc w:val="both"/>
        <w:rPr>
          <w:rFonts w:ascii="Arial" w:hAnsi="Arial" w:cs="Arial"/>
          <w:sz w:val="22"/>
          <w:szCs w:val="22"/>
          <w:lang w:val="pt-PT"/>
        </w:rPr>
      </w:pPr>
    </w:p>
    <w:p w14:paraId="2A6F597A" w14:textId="77777777" w:rsidR="00072198" w:rsidRPr="00EC53CE" w:rsidRDefault="00072198" w:rsidP="00AE642B">
      <w:pPr>
        <w:pStyle w:val="Standard"/>
        <w:ind w:left="3540"/>
        <w:jc w:val="both"/>
        <w:rPr>
          <w:rFonts w:ascii="Arial" w:hAnsi="Arial" w:cs="Arial"/>
          <w:sz w:val="22"/>
          <w:szCs w:val="22"/>
          <w:lang w:val="pt-PT"/>
        </w:rPr>
      </w:pPr>
    </w:p>
    <w:p w14:paraId="005136EE" w14:textId="70785000" w:rsidR="00072198" w:rsidRPr="00EC53CE" w:rsidRDefault="00F33998" w:rsidP="00F33998">
      <w:pPr>
        <w:pStyle w:val="Standard"/>
        <w:jc w:val="right"/>
        <w:rPr>
          <w:rFonts w:ascii="Arial" w:hAnsi="Arial" w:cs="Arial"/>
          <w:sz w:val="22"/>
          <w:szCs w:val="22"/>
          <w:lang w:val="pt-PT"/>
        </w:rPr>
      </w:pPr>
      <w:r>
        <w:rPr>
          <w:noProof/>
        </w:rPr>
        <w:drawing>
          <wp:inline distT="0" distB="0" distL="0" distR="0" wp14:anchorId="52A215E5" wp14:editId="4319EFA9">
            <wp:extent cx="4705350" cy="1552575"/>
            <wp:effectExtent l="0" t="0" r="0" b="952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198" w:rsidRPr="00EC53CE" w:rsidSect="00015C1B">
      <w:headerReference w:type="default" r:id="rId8"/>
      <w:footerReference w:type="default" r:id="rId9"/>
      <w:pgSz w:w="11907" w:h="16840" w:code="9"/>
      <w:pgMar w:top="2098" w:right="1842" w:bottom="1134" w:left="1701" w:header="284" w:footer="5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1418" w14:textId="77777777" w:rsidR="003133FB" w:rsidRDefault="003133FB" w:rsidP="007E46AA">
      <w:r>
        <w:separator/>
      </w:r>
    </w:p>
  </w:endnote>
  <w:endnote w:type="continuationSeparator" w:id="0">
    <w:p w14:paraId="7E6B5587" w14:textId="77777777" w:rsidR="003133FB" w:rsidRDefault="003133FB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77777777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0DA7" w14:textId="77777777" w:rsidR="003133FB" w:rsidRDefault="003133FB" w:rsidP="007E46AA">
      <w:r>
        <w:separator/>
      </w:r>
    </w:p>
  </w:footnote>
  <w:footnote w:type="continuationSeparator" w:id="0">
    <w:p w14:paraId="36BB87C7" w14:textId="77777777" w:rsidR="003133FB" w:rsidRDefault="003133FB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9FCF" w14:textId="76E4CF01" w:rsidR="009D5A99" w:rsidRPr="009D5A99" w:rsidRDefault="00D42677" w:rsidP="00540C0B">
    <w:pPr>
      <w:pStyle w:val="Cabealho"/>
      <w:tabs>
        <w:tab w:val="clear" w:pos="4252"/>
        <w:tab w:val="clear" w:pos="8504"/>
        <w:tab w:val="left" w:pos="375"/>
        <w:tab w:val="left" w:pos="705"/>
      </w:tabs>
      <w:rPr>
        <w:sz w:val="24"/>
        <w:szCs w:val="24"/>
        <w:lang w:val="x-none" w:eastAsia="x-none"/>
      </w:rPr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60A46BF2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+7CgIAAPQDAAAOAAAAZHJzL2Uyb0RvYy54bWysU9uO0zAQfUfiHyy/06TddmmjpqulqyKk&#10;5SItfMDEcRKLxGPZbpPy9YydtBR4Q+TB8mTGZ+acmdk+DF3LTtI6hTrn81nKmdQCS6XrnH/7eniz&#10;5sx50CW0qGXOz9Lxh93rV9veZHKBDbaltIxAtMt6k/PGe5MliRON7MDN0EhNzgptB55MWyelhZ7Q&#10;uzZZpOl90qMtjUUhnaO/T6OT7yJ+VUnhP1eVk561OafafDxtPItwJrstZLUF0ygxlQH/UEUHSlPS&#10;K9QTeGBHq/6C6pSw6LDyM4FdglWlhIwciM08/YPNSwNGRi4kjjNXmdz/gxWfTl8sU2XO7zjT0FGL&#10;9qAGYKVkXg4e2V3QqDcuo9AXQ8F+eIcD9TrydeYZxXfHNO4b0LV8tBb7RkJJNc7Dy+Tm6YjjAkjR&#10;f8SSksHRYwQaKtsFAUkSRujUq/O1P1QHEyFler9cb1acCfLN08Vis17FHJBdnhvr/HuJHQuXnFsa&#10;gAgPp2fnQzmQXUJCNoetKg+qbaNh62LfWnYCGpZD/Cb038JaHYI1hmcjYvgTeQZqI0k/FMOkW4Hl&#10;mRhbHIePloUuDdofnPU0eDnXtBmctR80abaZL5dhTqOxXL1dkGFvPcWtB7QgoJx7zsbr3o+zfTRW&#10;1Q3luXTpkXQ+qKhAaMhY01Q1jVYUZlqDMLu3doz6tay7nwAAAP//AwBQSwMEFAAGAAgAAAAhAO93&#10;EbLgAAAACgEAAA8AAABkcnMvZG93bnJldi54bWxMj9FKwzAUhu8F3yEcwbstrdW1q02HKMJEGGz6&#10;AGly1habpCbZWt/esyu9PPwf//+dajObgZ3Rh95ZAekyAYZWOd3bVsDnx+uiABaitFoOzqKAHwyw&#10;qa+vKllqN9k9ng+xZVRiQykFdDGOJedBdWhkWLoRLWVH542MdPqWay8nKjcDv0uSFTeyt7TQyRGf&#10;O1Rfh5MR8NL75lu5bLvK39dqtw/H6W3Hhbi9mZ8egUWc4x8MF31Sh5qcGneyOrBBQJFk94QKWOQZ&#10;MALWeZoCa4h8yArgdcX/v1D/AgAA//8DAFBLAQItABQABgAIAAAAIQC2gziS/gAAAOEBAAATAAAA&#10;AAAAAAAAAAAAAAAAAABbQ29udGVudF9UeXBlc10ueG1sUEsBAi0AFAAGAAgAAAAhADj9If/WAAAA&#10;lAEAAAsAAAAAAAAAAAAAAAAALwEAAF9yZWxzLy5yZWxzUEsBAi0AFAAGAAgAAAAhADMqH7sKAgAA&#10;9AMAAA4AAAAAAAAAAAAAAAAALgIAAGRycy9lMm9Eb2MueG1sUEsBAi0AFAAGAAgAAAAhAO93EbLg&#10;AAAACgEAAA8AAAAAAAAAAAAAAAAAZAQAAGRycy9kb3ducmV2LnhtbFBLBQYAAAAABAAEAPMAAABx&#10;BQAAAAA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 w:rsidR="009D5A99" w:rsidRPr="009D5A99"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63360" behindDoc="0" locked="0" layoutInCell="1" allowOverlap="1" wp14:anchorId="09E735FE" wp14:editId="50456330">
          <wp:simplePos x="0" y="0"/>
          <wp:positionH relativeFrom="margin">
            <wp:posOffset>4940300</wp:posOffset>
          </wp:positionH>
          <wp:positionV relativeFrom="paragraph">
            <wp:posOffset>172720</wp:posOffset>
          </wp:positionV>
          <wp:extent cx="810260" cy="800100"/>
          <wp:effectExtent l="0" t="0" r="889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A99" w:rsidRPr="009D5A99">
      <w:rPr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719D3327" wp14:editId="7D0B75E3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1016000" cy="98425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A99" w:rsidRPr="009D5A99">
      <w:rPr>
        <w:sz w:val="24"/>
        <w:szCs w:val="24"/>
        <w:lang w:val="x-none" w:eastAsia="x-none"/>
      </w:rPr>
      <w:tab/>
    </w:r>
    <w:r w:rsidR="009D5A99" w:rsidRPr="009D5A99">
      <w:rPr>
        <w:sz w:val="24"/>
        <w:szCs w:val="24"/>
        <w:lang w:val="x-none" w:eastAsia="x-none"/>
      </w:rPr>
      <w:tab/>
    </w:r>
  </w:p>
  <w:p w14:paraId="17328204" w14:textId="77777777" w:rsidR="00540C0B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EC53CE">
      <w:rPr>
        <w:rFonts w:ascii="Arial" w:hAnsi="Arial" w:cs="Arial"/>
        <w:b/>
        <w:sz w:val="26"/>
        <w:szCs w:val="26"/>
        <w:lang w:eastAsia="x-none"/>
      </w:rPr>
      <w:t xml:space="preserve">                    </w:t>
    </w:r>
  </w:p>
  <w:p w14:paraId="2C46AF74" w14:textId="6761D023" w:rsidR="009D5A99" w:rsidRPr="009D5A99" w:rsidRDefault="00540C0B" w:rsidP="00540C0B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="009D5A99"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33B50BEC" w:rsidR="009D5A99" w:rsidRPr="009D5A99" w:rsidRDefault="00EC53CE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</w:t>
    </w:r>
    <w:r w:rsidR="009D5A99" w:rsidRPr="009D5A99">
      <w:rPr>
        <w:rFonts w:ascii="Arial" w:hAnsi="Arial" w:cs="Arial"/>
        <w:sz w:val="26"/>
        <w:szCs w:val="26"/>
      </w:rPr>
      <w:t>Estado do Rio Grande do Sul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6AA"/>
    <w:rsid w:val="00015C1B"/>
    <w:rsid w:val="00042E36"/>
    <w:rsid w:val="00072198"/>
    <w:rsid w:val="000939A7"/>
    <w:rsid w:val="000A61B5"/>
    <w:rsid w:val="000D2007"/>
    <w:rsid w:val="000E127F"/>
    <w:rsid w:val="001219EA"/>
    <w:rsid w:val="0014727E"/>
    <w:rsid w:val="00150A58"/>
    <w:rsid w:val="00154E98"/>
    <w:rsid w:val="00183117"/>
    <w:rsid w:val="001A2213"/>
    <w:rsid w:val="001C261D"/>
    <w:rsid w:val="001E6CF6"/>
    <w:rsid w:val="002B6349"/>
    <w:rsid w:val="002F2684"/>
    <w:rsid w:val="003133FB"/>
    <w:rsid w:val="00356216"/>
    <w:rsid w:val="003808B5"/>
    <w:rsid w:val="003B249B"/>
    <w:rsid w:val="00402D30"/>
    <w:rsid w:val="004975D4"/>
    <w:rsid w:val="004D006E"/>
    <w:rsid w:val="004E3262"/>
    <w:rsid w:val="00540C0B"/>
    <w:rsid w:val="005E115A"/>
    <w:rsid w:val="006200D0"/>
    <w:rsid w:val="00646F86"/>
    <w:rsid w:val="006537BA"/>
    <w:rsid w:val="0066070B"/>
    <w:rsid w:val="00671773"/>
    <w:rsid w:val="007C76E8"/>
    <w:rsid w:val="007D68B4"/>
    <w:rsid w:val="007E46AA"/>
    <w:rsid w:val="008144EB"/>
    <w:rsid w:val="00852E32"/>
    <w:rsid w:val="00923BAE"/>
    <w:rsid w:val="00940944"/>
    <w:rsid w:val="00946297"/>
    <w:rsid w:val="009C4707"/>
    <w:rsid w:val="009D5A99"/>
    <w:rsid w:val="00A2774F"/>
    <w:rsid w:val="00A72BCA"/>
    <w:rsid w:val="00AD7B85"/>
    <w:rsid w:val="00AE642B"/>
    <w:rsid w:val="00AE761E"/>
    <w:rsid w:val="00B0271A"/>
    <w:rsid w:val="00B06BCC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A5CF4"/>
    <w:rsid w:val="00CC09D8"/>
    <w:rsid w:val="00D10088"/>
    <w:rsid w:val="00D2452D"/>
    <w:rsid w:val="00D42677"/>
    <w:rsid w:val="00D444D5"/>
    <w:rsid w:val="00DA769E"/>
    <w:rsid w:val="00DB5FAD"/>
    <w:rsid w:val="00DF3141"/>
    <w:rsid w:val="00E81A18"/>
    <w:rsid w:val="00EC53CE"/>
    <w:rsid w:val="00F2205C"/>
    <w:rsid w:val="00F22571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9CEBC5"/>
  <w15:docId w15:val="{7E69C2E1-2847-489B-B042-E1CFF2D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C7C3-BBDA-4646-9235-6DC69A0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7951</Words>
  <Characters>42941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</cp:lastModifiedBy>
  <cp:revision>11</cp:revision>
  <cp:lastPrinted>2022-06-07T17:06:00Z</cp:lastPrinted>
  <dcterms:created xsi:type="dcterms:W3CDTF">2022-06-30T18:53:00Z</dcterms:created>
  <dcterms:modified xsi:type="dcterms:W3CDTF">2022-07-01T13:06:00Z</dcterms:modified>
</cp:coreProperties>
</file>